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396CF3">
      <w:pPr>
        <w:widowControl/>
        <w:bidi w:val="0"/>
        <w:spacing w:after="240"/>
        <w:jc w:val="center"/>
        <w:rPr>
          <w:rFonts w:ascii="Times New Roman" w:eastAsia="Times New Roman" w:hAnsi="Times New Roman" w:cs="Times New Roman"/>
          <w:b/>
          <w:bCs/>
        </w:rPr>
      </w:pPr>
      <w:bookmarkStart w:id="0" w:name="_GoBack"/>
      <w:bookmarkEnd w:id="0"/>
      <w:r w:rsidRPr="00396CF3">
        <w:rPr>
          <w:rFonts w:ascii="Times New Roman" w:eastAsia="Times New Roman" w:hAnsi="Times New Roman" w:cs="Times New Roman"/>
          <w:b/>
          <w:bCs/>
          <w:rtl w:val="0"/>
          <w:lang w:val="en-US"/>
        </w:rPr>
        <w:t>Notification on essential fact/Disclosure of insider information "On meeting of the Board of Directors of IDGC of the South, PJSC" and its agenda (on extention of date of the meeting of the Board of Directors of the Company)"</w:t>
      </w:r>
    </w:p>
    <w:tbl>
      <w:tblPr>
        <w:tblOverlap w:val="never"/>
        <w:tblW w:w="5000" w:type="pct"/>
        <w:tblCellMar>
          <w:left w:w="10" w:type="dxa"/>
          <w:right w:w="10" w:type="dxa"/>
        </w:tblCellMar>
        <w:tblLook w:val="0000"/>
      </w:tblPr>
      <w:tblGrid>
        <w:gridCol w:w="4848"/>
        <w:gridCol w:w="1111"/>
        <w:gridCol w:w="1692"/>
        <w:gridCol w:w="2254"/>
      </w:tblGrid>
      <w:tr w:rsidTr="000745FD">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0745FD">
        <w:tblPrEx>
          <w:tblW w:w="5000" w:type="pct"/>
          <w:tblCellMar>
            <w:left w:w="10" w:type="dxa"/>
            <w:right w:w="10" w:type="dxa"/>
          </w:tblCellMar>
          <w:tblLook w:val="0000"/>
        </w:tblPrEx>
        <w:trPr>
          <w:trHeight w:val="283"/>
        </w:trPr>
        <w:tc>
          <w:tcPr>
            <w:tcW w:w="2447" w:type="pct"/>
            <w:tcBorders>
              <w:top w:val="single" w:sz="4" w:space="0" w:color="auto"/>
              <w:left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0745FD">
        <w:tblPrEx>
          <w:tblW w:w="5000" w:type="pct"/>
          <w:tblCellMar>
            <w:left w:w="10" w:type="dxa"/>
            <w:right w:w="10" w:type="dxa"/>
          </w:tblCellMar>
          <w:tblLook w:val="0000"/>
        </w:tblPrEx>
        <w:trPr>
          <w:trHeight w:val="283"/>
        </w:trPr>
        <w:tc>
          <w:tcPr>
            <w:tcW w:w="2447" w:type="pct"/>
            <w:tcBorders>
              <w:top w:val="single" w:sz="4" w:space="0" w:color="auto"/>
              <w:lef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0745FD">
        <w:tblPrEx>
          <w:tblW w:w="5000" w:type="pct"/>
          <w:tblCellMar>
            <w:left w:w="10" w:type="dxa"/>
            <w:right w:w="10" w:type="dxa"/>
          </w:tblCellMar>
          <w:tblLook w:val="0000"/>
        </w:tblPrEx>
        <w:trPr>
          <w:trHeight w:val="283"/>
        </w:trPr>
        <w:tc>
          <w:tcPr>
            <w:tcW w:w="2447" w:type="pct"/>
            <w:tcBorders>
              <w:top w:val="single" w:sz="4" w:space="0" w:color="auto"/>
              <w:left w:val="single" w:sz="4" w:space="0" w:color="auto"/>
            </w:tcBorders>
            <w:shd w:val="clear" w:color="auto" w:fill="FFFFFF"/>
          </w:tcPr>
          <w:p w:rsidR="002D294B" w:rsidRPr="002D294B" w:rsidP="00C04A8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0745FD">
        <w:tblPrEx>
          <w:tblW w:w="5000" w:type="pct"/>
          <w:tblCellMar>
            <w:left w:w="10" w:type="dxa"/>
            <w:right w:w="10" w:type="dxa"/>
          </w:tblCellMar>
          <w:tblLook w:val="0000"/>
        </w:tblPrEx>
        <w:trPr>
          <w:trHeight w:val="283"/>
        </w:trPr>
        <w:tc>
          <w:tcPr>
            <w:tcW w:w="2447" w:type="pct"/>
            <w:tcBorders>
              <w:top w:val="single" w:sz="4" w:space="0" w:color="auto"/>
              <w:lef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0745FD">
        <w:tblPrEx>
          <w:tblW w:w="5000" w:type="pct"/>
          <w:tblCellMar>
            <w:left w:w="10" w:type="dxa"/>
            <w:right w:w="10" w:type="dxa"/>
          </w:tblCellMar>
          <w:tblLook w:val="0000"/>
        </w:tblPrEx>
        <w:trPr>
          <w:trHeight w:val="283"/>
        </w:trPr>
        <w:tc>
          <w:tcPr>
            <w:tcW w:w="2447" w:type="pct"/>
            <w:tcBorders>
              <w:top w:val="single" w:sz="4" w:space="0" w:color="auto"/>
              <w:lef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0745FD">
        <w:tblPrEx>
          <w:tblW w:w="5000" w:type="pct"/>
          <w:tblCellMar>
            <w:left w:w="10" w:type="dxa"/>
            <w:right w:w="10" w:type="dxa"/>
          </w:tblCellMar>
          <w:tblLook w:val="0000"/>
        </w:tblPrEx>
        <w:trPr>
          <w:trHeight w:val="283"/>
        </w:trPr>
        <w:tc>
          <w:tcPr>
            <w:tcW w:w="2447" w:type="pct"/>
            <w:tcBorders>
              <w:top w:val="single" w:sz="4" w:space="0" w:color="auto"/>
              <w:lef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0745FD">
        <w:tblPrEx>
          <w:tblW w:w="5000" w:type="pct"/>
          <w:tblCellMar>
            <w:left w:w="10" w:type="dxa"/>
            <w:right w:w="10" w:type="dxa"/>
          </w:tblCellMar>
          <w:tblLook w:val="0000"/>
        </w:tblPrEx>
        <w:trPr>
          <w:trHeight w:val="283"/>
        </w:trPr>
        <w:tc>
          <w:tcPr>
            <w:tcW w:w="2447" w:type="pct"/>
            <w:tcBorders>
              <w:top w:val="single" w:sz="4" w:space="0" w:color="auto"/>
              <w:lef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right w:val="single" w:sz="4" w:space="0" w:color="auto"/>
            </w:tcBorders>
            <w:shd w:val="clear" w:color="auto" w:fill="FFFFFF"/>
          </w:tcPr>
          <w:p w:rsidR="002D294B" w:rsidRPr="009702FE" w:rsidP="002D294B">
            <w:pPr>
              <w:widowControl/>
              <w:bidi w:val="0"/>
              <w:ind w:left="57" w:right="57"/>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2D294B">
            <w:pPr>
              <w:widowControl/>
              <w:bidi w:val="0"/>
              <w:ind w:left="57" w:right="57"/>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0745FD">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P="002D294B">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p w:rsidR="00396CF3" w:rsidRPr="002D294B" w:rsidP="002D294B">
            <w:pPr>
              <w:widowControl/>
              <w:bidi w:val="0"/>
              <w:ind w:left="57" w:right="57"/>
              <w:jc w:val="center"/>
              <w:rPr>
                <w:rFonts w:ascii="Times New Roman" w:eastAsia="Times New Roman" w:hAnsi="Times New Roman" w:cs="Times New Roman"/>
                <w:b/>
                <w:bCs/>
              </w:rPr>
            </w:pPr>
            <w:r w:rsidRPr="00396CF3">
              <w:rPr>
                <w:rFonts w:ascii="Times New Roman" w:eastAsia="Times New Roman" w:hAnsi="Times New Roman" w:cs="Times New Roman"/>
                <w:b/>
                <w:bCs/>
                <w:rtl w:val="0"/>
                <w:lang w:val="en-US"/>
              </w:rPr>
              <w:t>"On meeting of the Board of Directors of IDGC of the South, PJSC" and its agenda (on extention of date of the meeting of the Board of Directors of the Company)"</w:t>
            </w:r>
          </w:p>
        </w:tc>
      </w:tr>
      <w:tr w:rsidTr="000745FD">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right w:val="single" w:sz="4" w:space="0" w:color="auto"/>
            </w:tcBorders>
            <w:shd w:val="clear" w:color="auto" w:fill="FFFFFF"/>
          </w:tcPr>
          <w:p w:rsidR="00396CF3" w:rsidRPr="00396CF3" w:rsidP="00396CF3">
            <w:pPr>
              <w:widowControl/>
              <w:bidi w:val="0"/>
              <w:spacing w:before="240" w:after="240"/>
              <w:ind w:left="57" w:right="57"/>
              <w:jc w:val="both"/>
              <w:rPr>
                <w:rFonts w:ascii="Times New Roman" w:eastAsia="Times New Roman" w:hAnsi="Times New Roman" w:cs="Times New Roman"/>
                <w:color w:val="auto"/>
              </w:rPr>
            </w:pPr>
            <w:r w:rsidRPr="00396CF3">
              <w:rPr>
                <w:rFonts w:ascii="Times New Roman" w:eastAsia="Times New Roman" w:hAnsi="Times New Roman" w:cs="Times New Roman"/>
                <w:color w:val="auto"/>
                <w:rtl w:val="0"/>
                <w:lang w:val="en-US"/>
              </w:rPr>
              <w:t>2.1.</w:t>
              <w:tab/>
              <w:t xml:space="preserve">Date of resolution by the Chairman of the Issuer's Board of Directors to convene the meeting of the Issuer's Board of Directors (resolution on extention of date of the meeting of the Board of Directors of the Company): </w:t>
            </w:r>
            <w:r w:rsidRPr="00396CF3">
              <w:rPr>
                <w:rFonts w:ascii="Times New Roman" w:eastAsia="Times New Roman" w:hAnsi="Times New Roman" w:cs="Times New Roman"/>
                <w:b/>
                <w:i/>
                <w:color w:val="auto"/>
                <w:rtl w:val="0"/>
                <w:lang w:val="en-US"/>
              </w:rPr>
              <w:t>September 27, 2017</w:t>
            </w:r>
          </w:p>
          <w:p w:rsidR="00396CF3" w:rsidRPr="00396CF3" w:rsidP="00396CF3">
            <w:pPr>
              <w:widowControl/>
              <w:bidi w:val="0"/>
              <w:spacing w:after="240"/>
              <w:ind w:left="57" w:right="57"/>
              <w:jc w:val="both"/>
              <w:rPr>
                <w:rFonts w:ascii="Times New Roman" w:eastAsia="Times New Roman" w:hAnsi="Times New Roman" w:cs="Times New Roman"/>
                <w:color w:val="auto"/>
              </w:rPr>
            </w:pPr>
            <w:r w:rsidRPr="00396CF3">
              <w:rPr>
                <w:rFonts w:ascii="Times New Roman" w:eastAsia="Times New Roman" w:hAnsi="Times New Roman" w:cs="Times New Roman"/>
                <w:color w:val="auto"/>
                <w:rtl w:val="0"/>
                <w:lang w:val="en-US"/>
              </w:rPr>
              <w:t>2.2.</w:t>
              <w:tab/>
              <w:t xml:space="preserve">Date of the meeting of the issuer’s board of directors:  </w:t>
            </w:r>
            <w:r w:rsidRPr="00396CF3">
              <w:rPr>
                <w:rFonts w:ascii="Times New Roman" w:eastAsia="Times New Roman" w:hAnsi="Times New Roman" w:cs="Times New Roman"/>
                <w:b/>
                <w:i/>
                <w:color w:val="auto"/>
                <w:rtl w:val="0"/>
                <w:lang w:val="en-US"/>
              </w:rPr>
              <w:t>29 September 2017</w:t>
            </w:r>
          </w:p>
          <w:p w:rsidR="00396CF3" w:rsidRPr="00396CF3" w:rsidP="00BB41E5">
            <w:pPr>
              <w:widowControl/>
              <w:bidi w:val="0"/>
              <w:ind w:left="57" w:right="57"/>
              <w:jc w:val="both"/>
              <w:rPr>
                <w:rFonts w:ascii="Times New Roman" w:eastAsia="Times New Roman" w:hAnsi="Times New Roman" w:cs="Times New Roman"/>
                <w:color w:val="auto"/>
              </w:rPr>
            </w:pPr>
            <w:r w:rsidRPr="00396CF3">
              <w:rPr>
                <w:rFonts w:ascii="Times New Roman" w:eastAsia="Times New Roman" w:hAnsi="Times New Roman" w:cs="Times New Roman"/>
                <w:color w:val="auto"/>
                <w:rtl w:val="0"/>
                <w:lang w:val="en-US"/>
              </w:rPr>
              <w:t>2.3.</w:t>
              <w:tab/>
              <w:t xml:space="preserve">Agenda of the meeting of the Issuer’s Board of Directors: </w:t>
            </w:r>
          </w:p>
          <w:p w:rsidR="00396CF3" w:rsidRPr="00396CF3" w:rsidP="00396CF3">
            <w:pPr>
              <w:widowControl/>
              <w:bidi w:val="0"/>
              <w:ind w:left="57" w:right="57" w:firstLine="639"/>
              <w:jc w:val="both"/>
              <w:rPr>
                <w:rFonts w:ascii="Times New Roman" w:eastAsia="Times New Roman" w:hAnsi="Times New Roman" w:cs="Times New Roman"/>
                <w:i/>
                <w:color w:val="auto"/>
              </w:rPr>
            </w:pPr>
            <w:r w:rsidRPr="00396CF3">
              <w:rPr>
                <w:rFonts w:ascii="Times New Roman" w:eastAsia="Times New Roman" w:hAnsi="Times New Roman" w:cs="Times New Roman"/>
                <w:i/>
                <w:color w:val="auto"/>
                <w:rtl w:val="0"/>
                <w:lang w:val="en-US"/>
              </w:rPr>
              <w:t>1.</w:t>
              <w:tab/>
              <w:t>On the adoption of the power saving and energy efficiency enhancing programme of IDGC of the South, PJSC for 2017-2022.</w:t>
            </w:r>
          </w:p>
          <w:p w:rsidR="00396CF3" w:rsidRPr="00396CF3" w:rsidP="00396CF3">
            <w:pPr>
              <w:widowControl/>
              <w:bidi w:val="0"/>
              <w:ind w:left="57" w:right="57" w:firstLine="639"/>
              <w:jc w:val="both"/>
              <w:rPr>
                <w:rFonts w:ascii="Times New Roman" w:eastAsia="Times New Roman" w:hAnsi="Times New Roman" w:cs="Times New Roman"/>
                <w:i/>
                <w:color w:val="auto"/>
              </w:rPr>
            </w:pPr>
            <w:r w:rsidRPr="00396CF3">
              <w:rPr>
                <w:rFonts w:ascii="Times New Roman" w:eastAsia="Times New Roman" w:hAnsi="Times New Roman" w:cs="Times New Roman"/>
                <w:i/>
                <w:color w:val="auto"/>
                <w:rtl w:val="0"/>
                <w:lang w:val="en-US"/>
              </w:rPr>
              <w:t>2.</w:t>
              <w:tab/>
              <w:t>Of adoption of Credit plan of IDGC of the South, PJSC for 4th quarter of 2017</w:t>
            </w:r>
          </w:p>
          <w:p w:rsidR="00396CF3" w:rsidRPr="00396CF3" w:rsidP="00396CF3">
            <w:pPr>
              <w:widowControl/>
              <w:bidi w:val="0"/>
              <w:ind w:left="57" w:right="57" w:firstLine="639"/>
              <w:jc w:val="both"/>
              <w:rPr>
                <w:rFonts w:ascii="Times New Roman" w:eastAsia="Times New Roman" w:hAnsi="Times New Roman" w:cs="Times New Roman"/>
                <w:i/>
                <w:color w:val="auto"/>
              </w:rPr>
            </w:pPr>
            <w:r w:rsidRPr="00396CF3">
              <w:rPr>
                <w:rFonts w:ascii="Times New Roman" w:eastAsia="Times New Roman" w:hAnsi="Times New Roman" w:cs="Times New Roman"/>
                <w:i/>
                <w:color w:val="auto"/>
                <w:rtl w:val="0"/>
                <w:lang w:val="en-US"/>
              </w:rPr>
              <w:t>3.</w:t>
              <w:tab/>
              <w:t>Of the report ratification on the Key Performance Indicator (KPI) of CEO of IDGC of the South, PJSC for the 2nd quarter of 2017.</w:t>
            </w:r>
          </w:p>
          <w:p w:rsidR="00396CF3" w:rsidRPr="00396CF3" w:rsidP="00396CF3">
            <w:pPr>
              <w:widowControl/>
              <w:bidi w:val="0"/>
              <w:ind w:left="57" w:right="57" w:firstLine="639"/>
              <w:jc w:val="both"/>
              <w:rPr>
                <w:rFonts w:ascii="Times New Roman" w:eastAsia="Times New Roman" w:hAnsi="Times New Roman" w:cs="Times New Roman"/>
                <w:i/>
                <w:color w:val="auto"/>
              </w:rPr>
            </w:pPr>
            <w:r w:rsidRPr="00396CF3">
              <w:rPr>
                <w:rFonts w:ascii="Times New Roman" w:eastAsia="Times New Roman" w:hAnsi="Times New Roman" w:cs="Times New Roman"/>
                <w:i/>
                <w:color w:val="auto"/>
                <w:rtl w:val="0"/>
                <w:lang w:val="en-US"/>
              </w:rPr>
              <w:t>4.</w:t>
              <w:tab/>
              <w:t>Of adoption of the report of fulfillment of free business-plan of Corporate group IDGC of the South, PJSC on the principles of RAS and consolidated on the principles of IFRS for the 1st half year of 2017.</w:t>
            </w:r>
          </w:p>
          <w:p w:rsidR="00396CF3" w:rsidRPr="00396CF3" w:rsidP="00396CF3">
            <w:pPr>
              <w:widowControl/>
              <w:bidi w:val="0"/>
              <w:ind w:left="57" w:right="57" w:firstLine="639"/>
              <w:jc w:val="both"/>
              <w:rPr>
                <w:rFonts w:ascii="Times New Roman" w:eastAsia="Times New Roman" w:hAnsi="Times New Roman" w:cs="Times New Roman"/>
                <w:i/>
                <w:color w:val="auto"/>
              </w:rPr>
            </w:pPr>
            <w:r w:rsidRPr="00396CF3">
              <w:rPr>
                <w:rFonts w:ascii="Times New Roman" w:eastAsia="Times New Roman" w:hAnsi="Times New Roman" w:cs="Times New Roman"/>
                <w:i/>
                <w:color w:val="auto"/>
                <w:rtl w:val="0"/>
                <w:lang w:val="en-US"/>
              </w:rPr>
              <w:t>5.</w:t>
              <w:tab/>
              <w:t>Of reconciliation of places combining in corporate bodies of other companies by the members of the Board of IDGC of the South, PJSC.</w:t>
            </w:r>
          </w:p>
          <w:p w:rsidR="00396CF3" w:rsidRPr="00396CF3" w:rsidP="00396CF3">
            <w:pPr>
              <w:widowControl/>
              <w:bidi w:val="0"/>
              <w:ind w:left="57" w:right="57" w:firstLine="639"/>
              <w:jc w:val="both"/>
              <w:rPr>
                <w:rFonts w:ascii="Times New Roman" w:eastAsia="Times New Roman" w:hAnsi="Times New Roman" w:cs="Times New Roman"/>
                <w:i/>
                <w:color w:val="auto"/>
              </w:rPr>
            </w:pPr>
            <w:r w:rsidRPr="00396CF3">
              <w:rPr>
                <w:rFonts w:ascii="Times New Roman" w:eastAsia="Times New Roman" w:hAnsi="Times New Roman" w:cs="Times New Roman"/>
                <w:i/>
                <w:color w:val="auto"/>
                <w:rtl w:val="0"/>
                <w:lang w:val="en-US"/>
              </w:rPr>
              <w:t>6.</w:t>
              <w:tab/>
              <w:t>Determination of the Company’s standpoint on the agenda item of the meeting of the Board of Directors of "Energoservis Yuga": "Of election of CEO of "Energoservis Yuga", JSC."</w:t>
            </w:r>
          </w:p>
          <w:p w:rsidR="006F073C" w:rsidRPr="009702FE" w:rsidP="00396CF3">
            <w:pPr>
              <w:widowControl/>
              <w:bidi w:val="0"/>
              <w:spacing w:after="240"/>
              <w:ind w:left="57" w:right="57" w:firstLine="639"/>
              <w:jc w:val="both"/>
              <w:rPr>
                <w:rFonts w:ascii="Times New Roman" w:eastAsia="Times New Roman" w:hAnsi="Times New Roman" w:cs="Times New Roman"/>
                <w:b/>
                <w:bCs/>
                <w:color w:val="auto"/>
              </w:rPr>
            </w:pPr>
            <w:r w:rsidRPr="00396CF3">
              <w:rPr>
                <w:rFonts w:ascii="Times New Roman" w:eastAsia="Times New Roman" w:hAnsi="Times New Roman" w:cs="Times New Roman"/>
                <w:i/>
                <w:color w:val="auto"/>
                <w:rtl w:val="0"/>
                <w:lang w:val="en-US"/>
              </w:rPr>
              <w:t>7.</w:t>
              <w:tab/>
              <w:t>Approval of the scenario conditions of drafting the Company’s business plan for 2018 and the forecast indicators for 2019-2022.</w:t>
            </w:r>
          </w:p>
        </w:tc>
      </w:tr>
      <w:tr w:rsidTr="000745FD">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0745FD">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2C4B16">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0745FD">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0745FD">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0745FD">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6A4DC5">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«27» September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9</cp:revision>
  <dcterms:created xsi:type="dcterms:W3CDTF">2018-03-13T10:52:00Z</dcterms:created>
  <dcterms:modified xsi:type="dcterms:W3CDTF">2018-03-14T09:02:00Z</dcterms:modified>
</cp:coreProperties>
</file>